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rFonts w:ascii="Open Sans" w:cs="Open Sans" w:eastAsia="Open Sans" w:hAnsi="Open Sans"/>
          <w:b w:val="1"/>
          <w:sz w:val="46"/>
          <w:szCs w:val="46"/>
          <w:shd w:fill="f3f3f3" w:val="clear"/>
        </w:rPr>
      </w:pPr>
      <w:bookmarkStart w:colFirst="0" w:colLast="0" w:name="_rz1s1utr0iwd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shd w:fill="f3f3f3" w:val="clear"/>
          <w:rtl w:val="0"/>
        </w:rPr>
        <w:t xml:space="preserve">Reading Questions – Merrill v. Milligan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36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36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Pick a particular supreme court justice who expressed a strong opinion about the use of computer simulations in redistricting; what is their opinion?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36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Rule="auto"/>
        <w:rPr>
          <w:rFonts w:ascii="Open Sans" w:cs="Open Sans" w:eastAsia="Open Sans" w:hAnsi="Open Sans"/>
          <w:b w:val="1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role do you think math, computer science, and other quantitative approaches 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Rule="auto"/>
        <w:rPr/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should take in redistricting in the future?  Write your initial thoughts here; we'll delve into this in more detail in class.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